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C8" w:rsidRPr="00790AF1" w:rsidRDefault="004456C8" w:rsidP="004456C8">
      <w:pPr>
        <w:jc w:val="center"/>
        <w:rPr>
          <w:rFonts w:ascii="Innogy Light" w:hAnsi="Innogy Light" w:cs="Calibri"/>
          <w:b/>
          <w:sz w:val="56"/>
          <w:szCs w:val="56"/>
        </w:rPr>
      </w:pPr>
      <w:r w:rsidRPr="00790AF1">
        <w:rPr>
          <w:rFonts w:ascii="Innogy Light" w:hAnsi="Innogy Light" w:cs="Calibri"/>
          <w:b/>
          <w:sz w:val="56"/>
          <w:szCs w:val="56"/>
        </w:rPr>
        <w:t>U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P O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Z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O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R N E N I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E</w:t>
      </w:r>
    </w:p>
    <w:p w:rsidR="004456C8" w:rsidRPr="00790AF1" w:rsidRDefault="004456C8" w:rsidP="004456C8">
      <w:pPr>
        <w:rPr>
          <w:rFonts w:ascii="Innogy Light" w:hAnsi="Innogy Light" w:cs="Calibri"/>
          <w:b/>
          <w:sz w:val="32"/>
          <w:szCs w:val="32"/>
        </w:rPr>
      </w:pPr>
    </w:p>
    <w:p w:rsidR="004456C8" w:rsidRPr="00790AF1" w:rsidRDefault="004456C8" w:rsidP="004456C8">
      <w:pPr>
        <w:jc w:val="center"/>
        <w:rPr>
          <w:rFonts w:ascii="Innogy Light" w:hAnsi="Innogy Light" w:cs="Calibri"/>
          <w:sz w:val="32"/>
          <w:szCs w:val="32"/>
        </w:rPr>
      </w:pPr>
      <w:r w:rsidRPr="00790AF1">
        <w:rPr>
          <w:rFonts w:ascii="Innogy Light" w:hAnsi="Innogy Light" w:cs="Calibri"/>
          <w:sz w:val="32"/>
          <w:szCs w:val="32"/>
        </w:rPr>
        <w:t>Pre vlastníkov a</w:t>
      </w:r>
      <w:r w:rsidRPr="00790AF1">
        <w:rPr>
          <w:rFonts w:ascii="Calibri" w:hAnsi="Calibri" w:cs="Calibri"/>
          <w:sz w:val="32"/>
          <w:szCs w:val="32"/>
        </w:rPr>
        <w:t> </w:t>
      </w:r>
      <w:r w:rsidRPr="00790AF1">
        <w:rPr>
          <w:rFonts w:ascii="Innogy Light" w:hAnsi="Innogy Light" w:cs="Calibri"/>
          <w:sz w:val="32"/>
          <w:szCs w:val="32"/>
        </w:rPr>
        <w:t>užívateľov pozemkov vo veci</w:t>
      </w:r>
    </w:p>
    <w:p w:rsidR="004456C8" w:rsidRPr="00790AF1" w:rsidRDefault="004456C8" w:rsidP="004456C8">
      <w:pPr>
        <w:tabs>
          <w:tab w:val="center" w:pos="4677"/>
        </w:tabs>
        <w:jc w:val="center"/>
        <w:rPr>
          <w:rFonts w:ascii="Innogy Light" w:hAnsi="Innogy Light" w:cs="Calibri"/>
          <w:b/>
          <w:caps/>
          <w:sz w:val="44"/>
          <w:szCs w:val="44"/>
        </w:rPr>
      </w:pPr>
    </w:p>
    <w:p w:rsidR="004456C8" w:rsidRPr="00790AF1" w:rsidRDefault="004456C8" w:rsidP="004456C8">
      <w:pPr>
        <w:tabs>
          <w:tab w:val="center" w:pos="4677"/>
        </w:tabs>
        <w:jc w:val="center"/>
        <w:rPr>
          <w:rFonts w:ascii="Innogy Light" w:hAnsi="Innogy Light" w:cs="Calibri"/>
          <w:b/>
          <w:caps/>
          <w:spacing w:val="20"/>
          <w:sz w:val="56"/>
          <w:szCs w:val="56"/>
        </w:rPr>
      </w:pPr>
      <w:r w:rsidRPr="00790AF1">
        <w:rPr>
          <w:rFonts w:ascii="Innogy Light" w:hAnsi="Innogy Light" w:cs="Calibri"/>
          <w:b/>
          <w:caps/>
          <w:spacing w:val="20"/>
          <w:sz w:val="56"/>
          <w:szCs w:val="56"/>
        </w:rPr>
        <w:t>Okliesnenia a odstránenia stromov</w:t>
      </w:r>
    </w:p>
    <w:p w:rsidR="004456C8" w:rsidRPr="00790AF1" w:rsidRDefault="004456C8" w:rsidP="004456C8">
      <w:pPr>
        <w:tabs>
          <w:tab w:val="center" w:pos="4677"/>
        </w:tabs>
        <w:jc w:val="center"/>
        <w:rPr>
          <w:rFonts w:ascii="Innogy Light" w:hAnsi="Innogy Light" w:cs="Calibri"/>
          <w:b/>
          <w:sz w:val="32"/>
          <w:szCs w:val="32"/>
        </w:rPr>
      </w:pPr>
    </w:p>
    <w:p w:rsidR="004456C8" w:rsidRPr="00790AF1" w:rsidRDefault="004456C8" w:rsidP="004456C8">
      <w:pPr>
        <w:tabs>
          <w:tab w:val="center" w:pos="4677"/>
        </w:tabs>
        <w:jc w:val="center"/>
        <w:rPr>
          <w:rFonts w:ascii="Innogy Light" w:hAnsi="Innogy Light" w:cs="Calibri"/>
          <w:sz w:val="32"/>
          <w:szCs w:val="32"/>
        </w:rPr>
      </w:pPr>
      <w:r w:rsidRPr="00790AF1">
        <w:rPr>
          <w:rFonts w:ascii="Innogy Light" w:hAnsi="Innogy Light" w:cs="Calibri"/>
          <w:sz w:val="32"/>
          <w:szCs w:val="32"/>
        </w:rPr>
        <w:t>v</w:t>
      </w:r>
      <w:r w:rsidRPr="00790AF1">
        <w:rPr>
          <w:rFonts w:ascii="Calibri" w:hAnsi="Calibri" w:cs="Calibri"/>
          <w:sz w:val="32"/>
          <w:szCs w:val="32"/>
        </w:rPr>
        <w:t> </w:t>
      </w:r>
      <w:r w:rsidRPr="00790AF1">
        <w:rPr>
          <w:rFonts w:ascii="Innogy Light" w:hAnsi="Innogy Light" w:cs="Calibri"/>
          <w:sz w:val="32"/>
          <w:szCs w:val="32"/>
        </w:rPr>
        <w:t xml:space="preserve">ochrannom pásme vysokonapäťových vedení a pod vonkajším nízkonapäťovým vedením </w:t>
      </w:r>
    </w:p>
    <w:p w:rsidR="004456C8" w:rsidRPr="00790AF1" w:rsidRDefault="004456C8" w:rsidP="004456C8">
      <w:pPr>
        <w:rPr>
          <w:rFonts w:ascii="Innogy Light" w:hAnsi="Innogy Light" w:cs="Calibri"/>
          <w:b/>
        </w:rPr>
      </w:pPr>
    </w:p>
    <w:p w:rsidR="004456C8" w:rsidRPr="00790AF1" w:rsidRDefault="004456C8" w:rsidP="004456C8">
      <w:pPr>
        <w:ind w:firstLine="709"/>
        <w:jc w:val="both"/>
        <w:rPr>
          <w:rFonts w:ascii="Innogy Light" w:hAnsi="Innogy Light" w:cs="Calibri"/>
          <w:sz w:val="32"/>
          <w:szCs w:val="32"/>
        </w:rPr>
      </w:pPr>
    </w:p>
    <w:p w:rsidR="004456C8" w:rsidRPr="00790AF1" w:rsidRDefault="004456C8" w:rsidP="004456C8">
      <w:pPr>
        <w:ind w:firstLine="709"/>
        <w:jc w:val="both"/>
        <w:rPr>
          <w:rFonts w:ascii="Innogy Light" w:hAnsi="Innogy Light" w:cs="Calibri"/>
          <w:sz w:val="28"/>
          <w:szCs w:val="28"/>
        </w:rPr>
      </w:pPr>
      <w:r w:rsidRPr="00790AF1">
        <w:rPr>
          <w:rFonts w:ascii="Innogy Light" w:hAnsi="Innogy Light" w:cs="Calibri"/>
          <w:sz w:val="28"/>
          <w:szCs w:val="28"/>
        </w:rPr>
        <w:t>Upozorňujeme Vás na povinnosť udržiavať porasty 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ochrannom pásme vedení a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pod vedením maximálne do výšky 3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m od zeme. Zároveň je potrebné udržiavať bezlesie 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šírke 4 m po oboch stranách elektrického vedenia.</w:t>
      </w:r>
    </w:p>
    <w:p w:rsidR="004456C8" w:rsidRPr="00790AF1" w:rsidRDefault="004456C8" w:rsidP="004456C8">
      <w:pPr>
        <w:jc w:val="both"/>
        <w:rPr>
          <w:rFonts w:ascii="Innogy Light" w:hAnsi="Innogy Light" w:cs="Calibri"/>
          <w:sz w:val="28"/>
          <w:szCs w:val="28"/>
        </w:rPr>
      </w:pPr>
    </w:p>
    <w:p w:rsidR="004456C8" w:rsidRPr="00790AF1" w:rsidRDefault="004456C8" w:rsidP="004456C8">
      <w:pPr>
        <w:ind w:firstLine="709"/>
        <w:jc w:val="both"/>
        <w:rPr>
          <w:rFonts w:ascii="Innogy Light" w:hAnsi="Innogy Light" w:cs="Calibri"/>
          <w:sz w:val="28"/>
          <w:szCs w:val="28"/>
        </w:rPr>
      </w:pPr>
      <w:r w:rsidRPr="00790AF1">
        <w:rPr>
          <w:rFonts w:ascii="Innogy Light" w:hAnsi="Innogy Light" w:cs="Calibri"/>
          <w:sz w:val="28"/>
          <w:szCs w:val="28"/>
        </w:rPr>
        <w:t>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prípade, že porasty prerastú výšku 3 m, je potrebné z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 xml:space="preserve">Vašej strany zabezpečiť ich okliesnenie prípadne odstránenie. </w:t>
      </w:r>
    </w:p>
    <w:p w:rsidR="004456C8" w:rsidRPr="00790AF1" w:rsidRDefault="004456C8" w:rsidP="004456C8">
      <w:pPr>
        <w:jc w:val="both"/>
        <w:rPr>
          <w:rFonts w:ascii="Innogy Light" w:hAnsi="Innogy Light" w:cs="Calibri"/>
          <w:sz w:val="28"/>
          <w:szCs w:val="28"/>
        </w:rPr>
      </w:pPr>
      <w:r w:rsidRPr="00790AF1">
        <w:rPr>
          <w:rFonts w:ascii="Innogy Light" w:hAnsi="Innogy Light" w:cs="Calibri"/>
          <w:sz w:val="28"/>
          <w:szCs w:val="28"/>
        </w:rPr>
        <w:t>Táto povinnosť vyplýva vlastníkovi, resp. užívateľovi pozemku zo zákona č. 251/2012 Z. z. o energetike a o zmene a doplnení niektorých zákonov 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platnom znení.</w:t>
      </w:r>
    </w:p>
    <w:p w:rsidR="004456C8" w:rsidRPr="00790AF1" w:rsidRDefault="004456C8" w:rsidP="004456C8">
      <w:pPr>
        <w:ind w:left="-284" w:right="-284"/>
        <w:jc w:val="both"/>
        <w:rPr>
          <w:rFonts w:ascii="Innogy Light" w:hAnsi="Innogy Light" w:cs="Arial"/>
          <w:highlight w:val="cyan"/>
        </w:rPr>
      </w:pPr>
    </w:p>
    <w:p w:rsidR="00450C83" w:rsidRDefault="004456C8" w:rsidP="004456C8">
      <w:r w:rsidRPr="00790AF1">
        <w:rPr>
          <w:rFonts w:ascii="Innogy Light" w:hAnsi="Innogy Light" w:cs="Arial"/>
          <w:snapToGrid w:val="0"/>
        </w:rPr>
        <w:br w:type="page"/>
      </w:r>
    </w:p>
    <w:sectPr w:rsidR="00450C83" w:rsidSect="0045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nogy Light">
    <w:altName w:val="Segoe UI Semilight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456C8"/>
    <w:rsid w:val="00262036"/>
    <w:rsid w:val="00300C06"/>
    <w:rsid w:val="004456C8"/>
    <w:rsid w:val="00450C83"/>
    <w:rsid w:val="009172B2"/>
    <w:rsid w:val="00C4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56C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>Hewlett-Packard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2022-03-10T15:35:00Z</dcterms:created>
  <dcterms:modified xsi:type="dcterms:W3CDTF">2022-03-10T15:35:00Z</dcterms:modified>
</cp:coreProperties>
</file>